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5669"/>
          </w:tcPr>
          <w:p>
            <w:pPr>
              <w:spacing w:after="200"/>
            </w:pPr>
            <w:r>
              <w:drawing>
                <wp:inline xmlns:a="http://schemas.openxmlformats.org/drawingml/2006/main" xmlns:pic="http://schemas.openxmlformats.org/drawingml/2006/picture">
                  <wp:extent cx="1512000" cy="214437"/>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214437"/>
                          </a:xfrm>
                          <a:prstGeom prst="rect"/>
                        </pic:spPr>
                      </pic:pic>
                    </a:graphicData>
                  </a:graphic>
                </wp:inline>
              </w:drawing>
            </w:r>
          </w:p>
          <w:p>
            <w:r>
              <w:rPr>
                <w:b/>
                <w:color w:val="0C2240"/>
                <w:sz w:val="52"/>
              </w:rPr>
              <w:t>Order Form</w:t>
            </w:r>
          </w:p>
        </w:tc>
        <w:tc>
          <w:tcPr>
            <w:tcW w:type="dxa" w:w="3969"/>
          </w:tcPr>
          <w:p>
            <w:pPr>
              <w:spacing w:after="40"/>
              <w:jc w:val="right"/>
            </w:pPr>
            <w:r>
              <w:rPr>
                <w:b/>
                <w:color w:val="5B6576"/>
                <w:sz w:val="15"/>
              </w:rPr>
              <w:t xml:space="preserve">ORDER REF   </w:t>
            </w:r>
            <w:r>
              <w:rPr>
                <w:rFonts w:ascii="Arial" w:hAnsi="Arial"/>
                <w:color w:val="2A3F66"/>
                <w:sz w:val="18"/>
                <w:shd w:val="clear" w:color="auto" w:fill="E3EAF5"/>
              </w:rPr>
              <w:t>[SC-OF-YYYY-000]</w:t>
            </w:r>
          </w:p>
          <w:p>
            <w:pPr>
              <w:spacing w:after="40"/>
              <w:jc w:val="right"/>
            </w:pPr>
            <w:r>
              <w:rPr>
                <w:b/>
                <w:color w:val="5B6576"/>
                <w:sz w:val="15"/>
              </w:rPr>
              <w:t xml:space="preserve">DATE   </w:t>
            </w:r>
            <w:r>
              <w:rPr>
                <w:rFonts w:ascii="Arial" w:hAnsi="Arial"/>
                <w:color w:val="2A3F66"/>
                <w:sz w:val="18"/>
                <w:shd w:val="clear" w:color="auto" w:fill="E3EAF5"/>
              </w:rPr>
              <w:t>[date sent]</w:t>
            </w:r>
          </w:p>
          <w:p>
            <w:pPr>
              <w:spacing w:after="40"/>
              <w:jc w:val="right"/>
            </w:pPr>
            <w:r>
              <w:rPr>
                <w:b/>
                <w:color w:val="5B6576"/>
                <w:sz w:val="15"/>
              </w:rPr>
              <w:t xml:space="preserve">TEMPLATE   </w:t>
            </w:r>
            <w:r>
              <w:rPr>
                <w:rFonts w:ascii="Arial" w:hAnsi="Arial"/>
                <w:color w:val="5B6576"/>
                <w:sz w:val="18"/>
              </w:rPr>
              <w:t>v1, October 2026</w:t>
            </w:r>
          </w:p>
        </w:tc>
      </w:tr>
    </w:tbl>
    <w:p>
      <w:pPr>
        <w:pBdr>
          <w:bottom w:val="single" w:sz="16" w:space="1" w:color="0C2240"/>
        </w:pBdr>
        <w:spacing w:after="200"/>
      </w:pPr>
    </w:p>
    <w:p>
      <w:pPr>
        <w:spacing w:after="200" w:before="0"/>
      </w:pPr>
      <w:r>
        <w:rPr>
          <w:rFonts w:ascii="Arial" w:hAnsi="Arial"/>
          <w:sz w:val="20"/>
        </w:rPr>
        <w:t>This Order Form is entered into under the Subcontext Terms of Service at subcontext.com/terms (the "Terms"). Words with capital letters have the meanings given in the Terms. Section numbers below refer to the Terms unless stated otherwise.</w:t>
      </w:r>
    </w:p>
    <w:tbl>
      <w:tblPr>
        <w:tblW w:type="auto" w:w="0"/>
        <w:tblLayout w:type="fixed"/>
        <w:tblLook w:firstColumn="1" w:firstRow="1" w:lastColumn="0" w:lastRow="0" w:noHBand="0" w:noVBand="1" w:val="04A0"/>
      </w:tblPr>
      <w:tblGrid>
        <w:gridCol w:w="9638"/>
      </w:tblGrid>
      <w:tr>
        <w:tc>
          <w:tcPr>
            <w:tcW w:type="dxa" w:w="9638"/>
            <w:shd w:val="clear" w:color="auto" w:fill="FFF5DD"/>
            <w:tcBorders>
              <w:top w:val="single" w:sz="6" w:color="E8C670"/>
              <w:left w:val="single" w:sz="6" w:color="E8C670"/>
              <w:bottom w:val="single" w:sz="6" w:color="E8C670"/>
              <w:right w:val="single" w:sz="6" w:color="E8C670"/>
            </w:tcBorders>
            <w:tcMar>
              <w:top w:w="140" w:type="dxa"/>
              <w:bottom w:w="140" w:type="dxa"/>
              <w:start w:w="180" w:type="dxa"/>
              <w:end w:w="180" w:type="dxa"/>
            </w:tcMar>
          </w:tcPr>
          <w:p>
            <w:pPr>
              <w:spacing w:after="80"/>
            </w:pPr>
            <w:r>
              <w:rPr>
                <w:b/>
                <w:color w:val="5E4300"/>
                <w:sz w:val="16"/>
              </w:rPr>
              <w:t>DRAFTING NOTE  (delete before sending)</w:t>
            </w:r>
          </w:p>
          <w:p>
            <w:pPr>
              <w:spacing w:after="80"/>
            </w:pPr>
            <w:r>
              <w:rPr>
                <w:rFonts w:ascii="Arial" w:hAnsi="Arial"/>
                <w:color w:val="5E4300"/>
                <w:sz w:val="18"/>
              </w:rPr>
              <w:t>Fill in every shaded field, tick one box in each choice, and delete every drafting note before sending. Keep the commercial details in Sections 1 to 6. Put any change to the Terms themselves in Section 7, and name the clause it changes: under Section 23.1 of the Terms, a change that does not name its clause has no effect.</w:t>
            </w:r>
          </w:p>
        </w:tc>
      </w:tr>
    </w:tbl>
    <w:p>
      <w:pPr>
        <w:spacing w:after="0"/>
      </w:pPr>
    </w:p>
    <w:p>
      <w:pPr>
        <w:keepNext/>
        <w:spacing w:before="360" w:after="120"/>
        <w:pBdr>
          <w:bottom w:val="single" w:sz="8" w:space="4" w:color="0C2240"/>
        </w:pBdr>
      </w:pPr>
      <w:r>
        <w:rPr>
          <w:b/>
          <w:color w:val="5B6576"/>
          <w:sz w:val="22"/>
        </w:rPr>
        <w:t xml:space="preserve">1   </w:t>
      </w:r>
      <w:r>
        <w:rPr>
          <w:b/>
          <w:color w:val="0C2240"/>
          <w:sz w:val="22"/>
        </w:rPr>
        <w:t>PARTIES</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Subcontext</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sz w:val="20"/>
              </w:rPr>
              <w:t>Subcontext Ltd, registered in England and Wales, company no. 17019645, 124 City Road, London, EC1V 2NX. Contact: hello@subcontext.com</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Customer</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[legal entity name]</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Company number</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[company no.]</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Registered office</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[address]</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VAT number</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[VAT no., or "not registered"]</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Contract contact</w:t>
            </w:r>
          </w:p>
          <w:p>
            <w:pPr>
              <w:spacing w:after="0"/>
            </w:pPr>
            <w:r>
              <w:rPr>
                <w:rFonts w:ascii="Arial" w:hAnsi="Arial"/>
                <w:color w:val="5B6576"/>
                <w:sz w:val="16"/>
              </w:rPr>
              <w:t>For notices under Section 23.5</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[name, role, email]</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Billing contact</w:t>
            </w:r>
          </w:p>
          <w:p>
            <w:pPr>
              <w:spacing w:after="0"/>
            </w:pPr>
            <w:r>
              <w:rPr>
                <w:rFonts w:ascii="Arial" w:hAnsi="Arial"/>
                <w:color w:val="5B6576"/>
                <w:sz w:val="16"/>
              </w:rPr>
              <w:t>Invoices are sent here</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[name, email]</w:t>
            </w:r>
          </w:p>
          <w:p>
            <w:pPr>
              <w:spacing w:after="60"/>
            </w:pPr>
            <w:r>
              <w:rPr>
                <w:rFonts w:ascii="Arial" w:hAnsi="Arial"/>
                <w:color w:val="2A3F66"/>
                <w:sz w:val="20"/>
                <w:shd w:val="clear" w:color="auto" w:fill="E3EAF5"/>
              </w:rPr>
              <w:t>[purchase order no., if required on invoices]</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Regulatory status</w:t>
            </w:r>
          </w:p>
          <w:p>
            <w:pPr>
              <w:spacing w:after="0"/>
            </w:pPr>
            <w:r>
              <w:rPr>
                <w:rFonts w:ascii="Arial" w:hAnsi="Arial"/>
                <w:color w:val="5B6576"/>
                <w:sz w:val="16"/>
              </w:rPr>
              <w:t>Section 5.2 and Schedule 1</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 xml:space="preserve">Customer is authorised or regulated by the </w:t>
            </w:r>
            <w:r>
              <w:rPr>
                <w:rFonts w:ascii="Arial" w:hAnsi="Arial"/>
                <w:color w:val="2A3F66"/>
                <w:sz w:val="20"/>
                <w:shd w:val="clear" w:color="auto" w:fill="E3EAF5"/>
              </w:rPr>
              <w:t>[FCA / PRA / other]</w:t>
            </w:r>
            <w:r>
              <w:rPr>
                <w:rFonts w:ascii="Arial" w:hAnsi="Arial"/>
                <w:sz w:val="20"/>
              </w:rPr>
              <w:t xml:space="preserve">, firm reference number </w:t>
            </w:r>
            <w:r>
              <w:rPr>
                <w:rFonts w:ascii="Arial" w:hAnsi="Arial"/>
                <w:color w:val="2A3F66"/>
                <w:sz w:val="20"/>
                <w:shd w:val="clear" w:color="auto" w:fill="E3EAF5"/>
              </w:rPr>
              <w:t>[FRN]</w:t>
            </w:r>
            <w:r>
              <w:rPr>
                <w:rFonts w:ascii="Arial" w:hAnsi="Arial"/>
                <w:sz w:val="20"/>
              </w:rPr>
              <w:t>. Schedule 1 (Regulated Customers) applies.</w:t>
            </w:r>
          </w:p>
          <w:p>
            <w:pPr>
              <w:spacing w:after="60"/>
              <w:ind w:left="312" w:hanging="312"/>
            </w:pPr>
            <w:r>
              <w:rPr>
                <w:rFonts w:ascii="Segoe UI Symbol" w:hAnsi="Segoe UI Symbol"/>
                <w:color w:val="0C2240"/>
                <w:sz w:val="22"/>
              </w:rPr>
              <w:t xml:space="preserve">☐  </w:t>
            </w:r>
            <w:r>
              <w:rPr>
                <w:rFonts w:ascii="Arial" w:hAnsi="Arial"/>
                <w:sz w:val="20"/>
              </w:rPr>
              <w:t>Customer is not regulated by a financial services regulator.</w:t>
            </w:r>
          </w:p>
        </w:tc>
      </w:tr>
    </w:tbl>
    <w:p>
      <w:pPr>
        <w:spacing w:after="0"/>
      </w:pPr>
    </w:p>
    <w:p>
      <w:pPr>
        <w:keepNext/>
        <w:spacing w:before="360" w:after="120"/>
        <w:pBdr>
          <w:bottom w:val="single" w:sz="8" w:space="4" w:color="0C2240"/>
        </w:pBdr>
      </w:pPr>
      <w:r>
        <w:rPr>
          <w:b/>
          <w:color w:val="5B6576"/>
          <w:sz w:val="22"/>
        </w:rPr>
        <w:t xml:space="preserve">2   </w:t>
      </w:r>
      <w:r>
        <w:rPr>
          <w:b/>
          <w:color w:val="0C2240"/>
          <w:sz w:val="22"/>
        </w:rPr>
        <w:t>SUBSCRIPTION</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Plan</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[Plan name, e.g. Enterprise]</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Organisation(s)</w:t>
            </w:r>
          </w:p>
          <w:p>
            <w:pPr>
              <w:spacing w:after="0"/>
            </w:pPr>
            <w:r>
              <w:rPr>
                <w:rFonts w:ascii="Arial" w:hAnsi="Arial"/>
                <w:color w:val="5B6576"/>
                <w:sz w:val="16"/>
              </w:rPr>
              <w:t>The workspaces this Subscription covers</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[Organisation name(s) in the Service]</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Start Date</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[date]</w:t>
            </w:r>
            <w:r>
              <w:rPr>
                <w:rFonts w:ascii="Arial" w:hAnsi="Arial"/>
                <w:sz w:val="20"/>
              </w:rPr>
              <w:t>, or if later, the date Subcontext activates the Plan for the Organisation.</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Fixed Term</w:t>
            </w:r>
          </w:p>
          <w:p>
            <w:pPr>
              <w:spacing w:after="0"/>
            </w:pPr>
            <w:r>
              <w:rPr>
                <w:rFonts w:ascii="Arial" w:hAnsi="Arial"/>
                <w:color w:val="5B6576"/>
                <w:sz w:val="16"/>
              </w:rPr>
              <w:t>Section 12.21</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[12]</w:t>
            </w:r>
            <w:r>
              <w:rPr>
                <w:rFonts w:ascii="Arial" w:hAnsi="Arial"/>
                <w:sz w:val="20"/>
              </w:rPr>
              <w:t xml:space="preserve"> months from the Start Date, ending on </w:t>
            </w:r>
            <w:r>
              <w:rPr>
                <w:rFonts w:ascii="Arial" w:hAnsi="Arial"/>
                <w:color w:val="2A3F66"/>
                <w:sz w:val="20"/>
                <w:shd w:val="clear" w:color="auto" w:fill="E3EAF5"/>
              </w:rPr>
              <w:t>[date]</w:t>
            </w:r>
            <w:r>
              <w:rPr>
                <w:rFonts w:ascii="Arial" w:hAnsi="Arial"/>
                <w:sz w:val="20"/>
              </w:rPr>
              <w:t>.</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Renewal</w:t>
            </w:r>
          </w:p>
          <w:p>
            <w:pPr>
              <w:spacing w:after="0"/>
            </w:pPr>
            <w:r>
              <w:rPr>
                <w:rFonts w:ascii="Arial" w:hAnsi="Arial"/>
                <w:color w:val="5B6576"/>
                <w:sz w:val="16"/>
              </w:rPr>
              <w:t>Section 12.21(e)</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No automatic renewal. The Subscription ends at the end of the Fixed Term unless the parties agree a renewal in writing.</w:t>
            </w:r>
          </w:p>
          <w:p>
            <w:pPr>
              <w:spacing w:after="60"/>
              <w:ind w:left="312" w:hanging="312"/>
            </w:pPr>
            <w:r>
              <w:rPr>
                <w:rFonts w:ascii="Segoe UI Symbol" w:hAnsi="Segoe UI Symbol"/>
                <w:color w:val="0C2240"/>
                <w:sz w:val="22"/>
              </w:rPr>
              <w:t xml:space="preserve">☐  </w:t>
            </w:r>
            <w:r>
              <w:rPr>
                <w:rFonts w:ascii="Arial" w:hAnsi="Arial"/>
                <w:sz w:val="20"/>
              </w:rPr>
              <w:t xml:space="preserve">Renews for successive periods of </w:t>
            </w:r>
            <w:r>
              <w:rPr>
                <w:rFonts w:ascii="Arial" w:hAnsi="Arial"/>
                <w:color w:val="2A3F66"/>
                <w:sz w:val="20"/>
                <w:shd w:val="clear" w:color="auto" w:fill="E3EAF5"/>
              </w:rPr>
              <w:t>[12]</w:t>
            </w:r>
            <w:r>
              <w:rPr>
                <w:rFonts w:ascii="Arial" w:hAnsi="Arial"/>
                <w:sz w:val="20"/>
              </w:rPr>
              <w:t xml:space="preserve"> months, unless either party gives at least </w:t>
            </w:r>
            <w:r>
              <w:rPr>
                <w:rFonts w:ascii="Arial" w:hAnsi="Arial"/>
                <w:color w:val="2A3F66"/>
                <w:sz w:val="20"/>
                <w:shd w:val="clear" w:color="auto" w:fill="E3EAF5"/>
              </w:rPr>
              <w:t>[60]</w:t>
            </w:r>
            <w:r>
              <w:rPr>
                <w:rFonts w:ascii="Arial" w:hAnsi="Arial"/>
                <w:sz w:val="20"/>
              </w:rPr>
              <w:t xml:space="preserve"> days' written notice before the end of the current period.</w:t>
            </w:r>
          </w:p>
        </w:tc>
      </w:tr>
    </w:tbl>
    <w:p>
      <w:pPr>
        <w:spacing w:after="0"/>
      </w:pPr>
    </w:p>
    <w:tbl>
      <w:tblPr>
        <w:tblW w:type="auto" w:w="0"/>
        <w:tblLayout w:type="fixed"/>
        <w:tblLook w:firstColumn="1" w:firstRow="1" w:lastColumn="0" w:lastRow="0" w:noHBand="0" w:noVBand="1" w:val="04A0"/>
      </w:tblPr>
      <w:tblGrid>
        <w:gridCol w:w="9638"/>
      </w:tblGrid>
      <w:tr>
        <w:tc>
          <w:tcPr>
            <w:tcW w:type="dxa" w:w="9638"/>
            <w:shd w:val="clear" w:color="auto" w:fill="FFF5DD"/>
            <w:tcBorders>
              <w:top w:val="single" w:sz="6" w:color="E8C670"/>
              <w:left w:val="single" w:sz="6" w:color="E8C670"/>
              <w:bottom w:val="single" w:sz="6" w:color="E8C670"/>
              <w:right w:val="single" w:sz="6" w:color="E8C670"/>
            </w:tcBorders>
            <w:tcMar>
              <w:top w:w="140" w:type="dxa"/>
              <w:bottom w:w="140" w:type="dxa"/>
              <w:start w:w="180" w:type="dxa"/>
              <w:end w:w="180" w:type="dxa"/>
            </w:tcMar>
          </w:tcPr>
          <w:p>
            <w:pPr>
              <w:spacing w:after="80"/>
            </w:pPr>
            <w:r>
              <w:rPr>
                <w:b/>
                <w:color w:val="5E4300"/>
                <w:sz w:val="16"/>
              </w:rPr>
              <w:t>DRAFTING NOTE  (delete before sending)</w:t>
            </w:r>
          </w:p>
          <w:p>
            <w:pPr>
              <w:spacing w:after="80"/>
            </w:pPr>
            <w:r>
              <w:rPr>
                <w:rFonts w:ascii="Arial" w:hAnsi="Arial"/>
                <w:color w:val="5E4300"/>
                <w:sz w:val="18"/>
              </w:rPr>
              <w:t>Renewal is not automated: when a term renews, an admin must move the deal's term end date forward, or the platform ends the Subscription on the old date. Prefer "No automatic renewal" unless the customer asks for it.</w:t>
            </w:r>
          </w:p>
        </w:tc>
      </w:tr>
    </w:tbl>
    <w:p>
      <w:pPr>
        <w:spacing w:after="0"/>
      </w:pPr>
    </w:p>
    <w:p>
      <w:pPr>
        <w:keepNext/>
        <w:spacing w:before="360" w:after="120"/>
        <w:pBdr>
          <w:bottom w:val="single" w:sz="8" w:space="4" w:color="0C2240"/>
        </w:pBdr>
      </w:pPr>
      <w:r>
        <w:rPr>
          <w:b/>
          <w:color w:val="5B6576"/>
          <w:sz w:val="22"/>
        </w:rPr>
        <w:t xml:space="preserve">3   </w:t>
      </w:r>
      <w:r>
        <w:rPr>
          <w:b/>
          <w:color w:val="0C2240"/>
          <w:sz w:val="22"/>
        </w:rPr>
        <w:t>FEES</w:t>
      </w:r>
    </w:p>
    <w:p>
      <w:pPr>
        <w:spacing w:after="120" w:before="0"/>
      </w:pPr>
      <w:r>
        <w:rPr>
          <w:rFonts w:ascii="Arial" w:hAnsi="Arial"/>
          <w:sz w:val="20"/>
        </w:rPr>
        <w:t>All amounts are in pounds sterling and exclude VAT (Section 12.1).</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Subscription fee</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sz w:val="20"/>
              </w:rPr>
              <w:t>£</w:t>
            </w:r>
            <w:r>
              <w:rPr>
                <w:rFonts w:ascii="Arial" w:hAnsi="Arial"/>
                <w:color w:val="2A3F66"/>
                <w:sz w:val="20"/>
                <w:shd w:val="clear" w:color="auto" w:fill="E3EAF5"/>
              </w:rPr>
              <w:t>[amount]</w:t>
            </w:r>
            <w:r>
              <w:rPr>
                <w:rFonts w:ascii="Arial" w:hAnsi="Arial"/>
                <w:sz w:val="20"/>
              </w:rPr>
              <w:t xml:space="preserve"> per month for the Fixed Term.</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Included Credit</w:t>
            </w:r>
          </w:p>
          <w:p>
            <w:pPr>
              <w:spacing w:after="0"/>
            </w:pPr>
            <w:r>
              <w:rPr>
                <w:rFonts w:ascii="Arial" w:hAnsi="Arial"/>
                <w:color w:val="5B6576"/>
                <w:sz w:val="16"/>
              </w:rPr>
              <w:t>Section 12.16</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sz w:val="20"/>
              </w:rPr>
              <w:t>£</w:t>
            </w:r>
            <w:r>
              <w:rPr>
                <w:rFonts w:ascii="Arial" w:hAnsi="Arial"/>
                <w:color w:val="2A3F66"/>
                <w:sz w:val="20"/>
                <w:shd w:val="clear" w:color="auto" w:fill="E3EAF5"/>
              </w:rPr>
              <w:t>[amount]</w:t>
            </w:r>
            <w:r>
              <w:rPr>
                <w:rFonts w:ascii="Arial" w:hAnsi="Arial"/>
                <w:sz w:val="20"/>
              </w:rPr>
              <w:t xml:space="preserve"> per month, which resets each month and does not carry forward.</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AI usage</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Charged at Subcontext's rate card beyond the Included Credit (Sections 12.2 and 12.3).</w:t>
            </w:r>
          </w:p>
          <w:p>
            <w:pPr>
              <w:spacing w:after="60"/>
              <w:ind w:left="312" w:hanging="312"/>
            </w:pPr>
            <w:r>
              <w:rPr>
                <w:rFonts w:ascii="Segoe UI Symbol" w:hAnsi="Segoe UI Symbol"/>
                <w:color w:val="0C2240"/>
                <w:sz w:val="22"/>
              </w:rPr>
              <w:t xml:space="preserve">☐  </w:t>
            </w:r>
            <w:r>
              <w:rPr>
                <w:rFonts w:ascii="Arial" w:hAnsi="Arial"/>
                <w:sz w:val="20"/>
              </w:rPr>
              <w:t>Included in the subscription fee, subject to fair use (Section 12.13).</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Messaging and calls</w:t>
            </w:r>
          </w:p>
          <w:p>
            <w:pPr>
              <w:spacing w:after="0"/>
            </w:pPr>
            <w:r>
              <w:rPr>
                <w:rFonts w:ascii="Arial" w:hAnsi="Arial"/>
                <w:color w:val="5B6576"/>
                <w:sz w:val="16"/>
              </w:rPr>
              <w:t>SMS, WhatsApp, voice, email, numbers</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Charged at Subcontext's rate card beyond the Included Credit (Sections 12.2 and 12.3).</w:t>
            </w:r>
          </w:p>
          <w:p>
            <w:pPr>
              <w:spacing w:after="60"/>
              <w:ind w:left="312" w:hanging="312"/>
            </w:pPr>
            <w:r>
              <w:rPr>
                <w:rFonts w:ascii="Segoe UI Symbol" w:hAnsi="Segoe UI Symbol"/>
                <w:color w:val="0C2240"/>
                <w:sz w:val="22"/>
              </w:rPr>
              <w:t xml:space="preserve">☐  </w:t>
            </w:r>
            <w:r>
              <w:rPr>
                <w:rFonts w:ascii="Arial" w:hAnsi="Arial"/>
                <w:sz w:val="20"/>
              </w:rPr>
              <w:t>Included in the subscription fee, subject to fair use (Section 12.13).</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Platform fee on premiums</w:t>
            </w:r>
          </w:p>
          <w:p>
            <w:pPr>
              <w:spacing w:after="0"/>
            </w:pPr>
            <w:r>
              <w:rPr>
                <w:rFonts w:ascii="Arial" w:hAnsi="Arial"/>
                <w:color w:val="5B6576"/>
                <w:sz w:val="16"/>
              </w:rPr>
              <w:t>Section 8.4</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w:t>
            </w:r>
            <w:r>
              <w:rPr>
                <w:rFonts w:ascii="Arial" w:hAnsi="Arial"/>
                <w:sz w:val="20"/>
              </w:rPr>
              <w:t xml:space="preserve"> of each premium collected through a connected account, or </w:t>
            </w:r>
            <w:r>
              <w:rPr>
                <w:rFonts w:ascii="Arial" w:hAnsi="Arial"/>
                <w:color w:val="2A3F66"/>
                <w:sz w:val="20"/>
                <w:shd w:val="clear" w:color="auto" w:fill="E3EAF5"/>
              </w:rPr>
              <w:t>[not applicable]</w:t>
            </w:r>
            <w:r>
              <w:rPr>
                <w:rFonts w:ascii="Arial" w:hAnsi="Arial"/>
                <w:sz w:val="20"/>
              </w:rPr>
              <w:t>.</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One-off fees</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[e.g. onboarding £amount, invoiced on the Start Date, or "none"]</w:t>
            </w:r>
          </w:p>
        </w:tc>
      </w:tr>
    </w:tbl>
    <w:p>
      <w:pPr>
        <w:spacing w:after="0"/>
      </w:pPr>
    </w:p>
    <w:p>
      <w:pPr>
        <w:keepNext/>
        <w:spacing w:before="360" w:after="120"/>
        <w:pBdr>
          <w:bottom w:val="single" w:sz="8" w:space="4" w:color="0C2240"/>
        </w:pBdr>
      </w:pPr>
      <w:r>
        <w:rPr>
          <w:b/>
          <w:color w:val="5B6576"/>
          <w:sz w:val="22"/>
        </w:rPr>
        <w:t xml:space="preserve">4   </w:t>
      </w:r>
      <w:r>
        <w:rPr>
          <w:b/>
          <w:color w:val="0C2240"/>
          <w:sz w:val="22"/>
        </w:rPr>
        <w:t>INVOICING AND PAYMENT</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Payment method</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By invoice, monthly in arrears, as described in Section 12.14.</w:t>
            </w:r>
          </w:p>
          <w:p>
            <w:pPr>
              <w:spacing w:after="60"/>
              <w:ind w:left="312" w:hanging="312"/>
            </w:pPr>
            <w:r>
              <w:rPr>
                <w:rFonts w:ascii="Segoe UI Symbol" w:hAnsi="Segoe UI Symbol"/>
                <w:color w:val="0C2240"/>
                <w:sz w:val="22"/>
              </w:rPr>
              <w:t xml:space="preserve">☐  </w:t>
            </w:r>
            <w:r>
              <w:rPr>
                <w:rFonts w:ascii="Arial" w:hAnsi="Arial"/>
                <w:sz w:val="20"/>
              </w:rPr>
              <w:t>By card, monthly in advance through the Service.</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Billing months</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Run from the Start Date (for example the 14th to the 14th).</w:t>
            </w:r>
          </w:p>
          <w:p>
            <w:pPr>
              <w:spacing w:after="60"/>
              <w:ind w:left="312" w:hanging="312"/>
            </w:pPr>
            <w:r>
              <w:rPr>
                <w:rFonts w:ascii="Segoe UI Symbol" w:hAnsi="Segoe UI Symbol"/>
                <w:color w:val="0C2240"/>
                <w:sz w:val="22"/>
              </w:rPr>
              <w:t xml:space="preserve">☐  </w:t>
            </w:r>
            <w:r>
              <w:rPr>
                <w:rFonts w:ascii="Arial" w:hAnsi="Arial"/>
                <w:sz w:val="20"/>
              </w:rPr>
              <w:t>Run by calendar month. The days from the Start Date to the end of that month are free, and the first invoice covers the first full calendar month.</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Payment terms</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color w:val="2A3F66"/>
                <w:sz w:val="20"/>
                <w:shd w:val="clear" w:color="auto" w:fill="E3EAF5"/>
              </w:rPr>
              <w:t>[30]</w:t>
            </w:r>
            <w:r>
              <w:rPr>
                <w:rFonts w:ascii="Arial" w:hAnsi="Arial"/>
                <w:sz w:val="20"/>
              </w:rPr>
              <w:t xml:space="preserve"> days from the end of the month invoiced (Section 12.14).</w:t>
            </w:r>
          </w:p>
        </w:tc>
      </w:tr>
    </w:tbl>
    <w:p>
      <w:pPr>
        <w:spacing w:after="0"/>
      </w:pPr>
    </w:p>
    <w:p>
      <w:pPr>
        <w:keepNext/>
        <w:spacing w:before="360" w:after="120"/>
        <w:pBdr>
          <w:bottom w:val="single" w:sz="8" w:space="4" w:color="0C2240"/>
        </w:pBdr>
      </w:pPr>
      <w:r>
        <w:rPr>
          <w:b/>
          <w:color w:val="5B6576"/>
          <w:sz w:val="22"/>
        </w:rPr>
        <w:t xml:space="preserve">5   </w:t>
      </w:r>
      <w:r>
        <w:rPr>
          <w:b/>
          <w:color w:val="0C2240"/>
          <w:sz w:val="22"/>
        </w:rPr>
        <w:t>SUPPORT AND SERVICE LEVELS</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Support</w:t>
            </w:r>
          </w:p>
          <w:p>
            <w:pPr>
              <w:spacing w:after="0"/>
            </w:pPr>
            <w:r>
              <w:rPr>
                <w:rFonts w:ascii="Arial" w:hAnsi="Arial"/>
                <w:color w:val="5B6576"/>
                <w:sz w:val="16"/>
              </w:rPr>
              <w:t>Section 13.2</w:t>
            </w:r>
          </w:p>
        </w:tc>
        <w:tc>
          <w:tcPr>
            <w:tcW w:type="dxa" w:w="6576"/>
            <w:tcBorders>
              <w:top w:val="nil"/>
              <w:left w:val="nil"/>
              <w:bottom w:val="single" w:sz="4" w:color="D9DEE7"/>
              <w:right w:val="nil"/>
            </w:tcBorders>
            <w:tcMar>
              <w:top w:w="80" w:type="dxa"/>
              <w:bottom w:w="80" w:type="dxa"/>
              <w:start w:w="0" w:type="dxa"/>
              <w:end w:w="120" w:type="dxa"/>
            </w:tcMar>
          </w:tcPr>
          <w:p>
            <w:pPr>
              <w:spacing w:after="60"/>
              <w:ind w:left="312" w:hanging="312"/>
            </w:pPr>
            <w:r>
              <w:rPr>
                <w:rFonts w:ascii="Segoe UI Symbol" w:hAnsi="Segoe UI Symbol"/>
                <w:color w:val="0C2240"/>
                <w:sz w:val="22"/>
              </w:rPr>
              <w:t xml:space="preserve">☐  </w:t>
            </w:r>
            <w:r>
              <w:rPr>
                <w:rFonts w:ascii="Arial" w:hAnsi="Arial"/>
                <w:sz w:val="20"/>
              </w:rPr>
              <w:t>As described in Section 13.2 and at subcontext.com/trust/service-levels-support. Response times are targets.</w:t>
            </w:r>
          </w:p>
          <w:p>
            <w:pPr>
              <w:spacing w:after="60"/>
              <w:ind w:left="312" w:hanging="312"/>
            </w:pPr>
            <w:r>
              <w:rPr>
                <w:rFonts w:ascii="Segoe UI Symbol" w:hAnsi="Segoe UI Symbol"/>
                <w:color w:val="0C2240"/>
                <w:sz w:val="22"/>
              </w:rPr>
              <w:t xml:space="preserve">☐  </w:t>
            </w:r>
            <w:r>
              <w:rPr>
                <w:rFonts w:ascii="Arial" w:hAnsi="Arial"/>
                <w:sz w:val="20"/>
              </w:rPr>
              <w:t>The service levels in Section 7 apply as guaranteed service levels, with the service credits set out there.</w:t>
            </w:r>
          </w:p>
        </w:tc>
      </w:tr>
      <w:tr>
        <w:trPr>
          <w:cantSplit/>
        </w:trPr>
        <w:tc>
          <w:tcPr>
            <w:tcW w:type="dxa" w:w="3061"/>
            <w:tcBorders>
              <w:top w:val="nil"/>
              <w:left w:val="nil"/>
              <w:bottom w:val="single" w:sz="4" w:color="D9DEE7"/>
              <w:right w:val="nil"/>
            </w:tcBorders>
            <w:tcMar>
              <w:top w:w="80" w:type="dxa"/>
              <w:bottom w:w="80" w:type="dxa"/>
              <w:start w:w="0" w:type="dxa"/>
              <w:end w:w="120" w:type="dxa"/>
            </w:tcMar>
          </w:tcPr>
          <w:p>
            <w:pPr>
              <w:spacing w:after="0"/>
            </w:pPr>
            <w:r>
              <w:rPr>
                <w:rFonts w:ascii="Arial" w:hAnsi="Arial"/>
                <w:b/>
                <w:color w:val="1C2533"/>
                <w:sz w:val="19"/>
              </w:rPr>
              <w:t>Named contacts</w:t>
            </w:r>
          </w:p>
        </w:tc>
        <w:tc>
          <w:tcPr>
            <w:tcW w:type="dxa" w:w="6576"/>
            <w:tcBorders>
              <w:top w:val="nil"/>
              <w:left w:val="nil"/>
              <w:bottom w:val="single" w:sz="4" w:color="D9DEE7"/>
              <w:right w:val="nil"/>
            </w:tcBorders>
            <w:tcMar>
              <w:top w:w="80" w:type="dxa"/>
              <w:bottom w:w="80" w:type="dxa"/>
              <w:start w:w="0" w:type="dxa"/>
              <w:end w:w="120" w:type="dxa"/>
            </w:tcMar>
          </w:tcPr>
          <w:p>
            <w:pPr>
              <w:spacing w:after="60"/>
            </w:pPr>
            <w:r>
              <w:rPr>
                <w:rFonts w:ascii="Arial" w:hAnsi="Arial"/>
                <w:sz w:val="20"/>
              </w:rPr>
              <w:t xml:space="preserve">Subcontext: </w:t>
            </w:r>
            <w:r>
              <w:rPr>
                <w:rFonts w:ascii="Arial" w:hAnsi="Arial"/>
                <w:color w:val="2A3F66"/>
                <w:sz w:val="20"/>
                <w:shd w:val="clear" w:color="auto" w:fill="E3EAF5"/>
              </w:rPr>
              <w:t>[account contact]</w:t>
            </w:r>
          </w:p>
          <w:p>
            <w:pPr>
              <w:spacing w:after="60"/>
            </w:pPr>
            <w:r>
              <w:rPr>
                <w:rFonts w:ascii="Arial" w:hAnsi="Arial"/>
                <w:sz w:val="20"/>
              </w:rPr>
              <w:t xml:space="preserve">Customer: </w:t>
            </w:r>
            <w:r>
              <w:rPr>
                <w:rFonts w:ascii="Arial" w:hAnsi="Arial"/>
                <w:color w:val="2A3F66"/>
                <w:sz w:val="20"/>
                <w:shd w:val="clear" w:color="auto" w:fill="E3EAF5"/>
              </w:rPr>
              <w:t>[operational contact]</w:t>
            </w:r>
          </w:p>
        </w:tc>
      </w:tr>
    </w:tbl>
    <w:p>
      <w:pPr>
        <w:spacing w:after="0"/>
      </w:pPr>
    </w:p>
    <w:p>
      <w:pPr>
        <w:keepNext/>
        <w:spacing w:before="360" w:after="120"/>
        <w:pBdr>
          <w:bottom w:val="single" w:sz="8" w:space="4" w:color="0C2240"/>
        </w:pBdr>
      </w:pPr>
      <w:r>
        <w:rPr>
          <w:b/>
          <w:color w:val="5B6576"/>
          <w:sz w:val="22"/>
        </w:rPr>
        <w:t xml:space="preserve">6   </w:t>
      </w:r>
      <w:r>
        <w:rPr>
          <w:b/>
          <w:color w:val="0C2240"/>
          <w:sz w:val="22"/>
        </w:rPr>
        <w:t>AGREEMENT DOCUMENTS</w:t>
      </w:r>
    </w:p>
    <w:p>
      <w:pPr>
        <w:spacing w:after="120" w:before="0"/>
      </w:pPr>
      <w:r>
        <w:rPr>
          <w:rFonts w:ascii="Arial" w:hAnsi="Arial"/>
          <w:sz w:val="20"/>
        </w:rPr>
        <w:t>This Order Form forms part of the Agreement with the Terms of Service (subcontext.com/terms), the Acceptable Use Policy (subcontext.com/aup), the Data Processing Agreement (subcontext.com/dpa) and, where Section 1 says Customer is regulated, Schedule 1 to the Terms. Each applies in the version published at the date this Order Form is signed, and later versions apply as Section 21 of the Terms describes. Where these documents conflict, the order of precedence in Section 23.1 applies.</w:t>
      </w:r>
    </w:p>
    <w:p>
      <w:pPr>
        <w:keepNext/>
        <w:spacing w:before="360" w:after="120"/>
        <w:pBdr>
          <w:bottom w:val="single" w:sz="8" w:space="4" w:color="0C2240"/>
        </w:pBdr>
      </w:pPr>
      <w:r>
        <w:rPr>
          <w:b/>
          <w:color w:val="5B6576"/>
          <w:sz w:val="22"/>
        </w:rPr>
        <w:t xml:space="preserve">7   </w:t>
      </w:r>
      <w:r>
        <w:rPr>
          <w:b/>
          <w:color w:val="0C2240"/>
          <w:sz w:val="22"/>
        </w:rPr>
        <w:t>CHANGES TO THE TERMS</w:t>
      </w:r>
    </w:p>
    <w:p>
      <w:pPr>
        <w:spacing w:after="120" w:before="0"/>
      </w:pPr>
      <w:r>
        <w:rPr>
          <w:rFonts w:ascii="Arial" w:hAnsi="Arial"/>
          <w:sz w:val="20"/>
        </w:rPr>
        <w:t>The following provisions are changed for this Agreement only. Each change names the provision it changes, as Section 23.1 requires. Everything not changed here applies as written.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794"/>
            <w:tcBorders>
              <w:top w:val="nil"/>
              <w:left w:val="nil"/>
              <w:bottom w:val="single" w:sz="10" w:color="0C2240"/>
              <w:right w:val="nil"/>
            </w:tcBorders>
            <w:tcMar>
              <w:top w:w="40" w:type="dxa"/>
              <w:bottom w:w="60" w:type="dxa"/>
              <w:start w:w="0" w:type="dxa"/>
              <w:end w:w="120" w:type="dxa"/>
            </w:tcMar>
          </w:tcPr>
          <w:p>
            <w:r>
              <w:rPr>
                <w:b/>
                <w:color w:val="5B6576"/>
                <w:sz w:val="16"/>
              </w:rPr>
              <w:t>NO.</w:t>
            </w:r>
          </w:p>
        </w:tc>
        <w:tc>
          <w:tcPr>
            <w:tcW w:type="dxa" w:w="2041"/>
            <w:tcBorders>
              <w:top w:val="nil"/>
              <w:left w:val="nil"/>
              <w:bottom w:val="single" w:sz="10" w:color="0C2240"/>
              <w:right w:val="nil"/>
            </w:tcBorders>
            <w:tcMar>
              <w:top w:w="40" w:type="dxa"/>
              <w:bottom w:w="60" w:type="dxa"/>
              <w:start w:w="0" w:type="dxa"/>
              <w:end w:w="120" w:type="dxa"/>
            </w:tcMar>
          </w:tcPr>
          <w:p>
            <w:r>
              <w:rPr>
                <w:b/>
                <w:color w:val="5B6576"/>
                <w:sz w:val="16"/>
              </w:rPr>
              <w:t>PROVISION</w:t>
            </w:r>
          </w:p>
        </w:tc>
        <w:tc>
          <w:tcPr>
            <w:tcW w:type="dxa" w:w="6803"/>
            <w:tcBorders>
              <w:top w:val="nil"/>
              <w:left w:val="nil"/>
              <w:bottom w:val="single" w:sz="10" w:color="0C2240"/>
              <w:right w:val="nil"/>
            </w:tcBorders>
            <w:tcMar>
              <w:top w:w="40" w:type="dxa"/>
              <w:bottom w:w="60" w:type="dxa"/>
              <w:start w:w="0" w:type="dxa"/>
              <w:end w:w="120" w:type="dxa"/>
            </w:tcMar>
          </w:tcPr>
          <w:p>
            <w:r>
              <w:rPr>
                <w:b/>
                <w:color w:val="5B6576"/>
                <w:sz w:val="16"/>
              </w:rPr>
              <w:t>CHANGE</w:t>
            </w:r>
          </w:p>
        </w:tc>
      </w:tr>
      <w:tr>
        <w:trPr>
          <w:cantSplit/>
        </w:trPr>
        <w:tc>
          <w:tcPr>
            <w:tcW w:type="dxa" w:w="794"/>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5B6576"/>
                <w:sz w:val="20"/>
              </w:rPr>
              <w:t>7.1</w:t>
            </w:r>
          </w:p>
        </w:tc>
        <w:tc>
          <w:tcPr>
            <w:tcW w:type="dxa" w:w="2041"/>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2A3F66"/>
                <w:sz w:val="20"/>
                <w:shd w:val="clear" w:color="auto" w:fill="E3EAF5"/>
              </w:rPr>
              <w:t>[Section]</w:t>
            </w:r>
          </w:p>
        </w:tc>
        <w:tc>
          <w:tcPr>
            <w:tcW w:type="dxa" w:w="6803"/>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2A3F66"/>
                <w:sz w:val="20"/>
                <w:shd w:val="clear" w:color="auto" w:fill="E3EAF5"/>
              </w:rPr>
              <w:t>[the change, in full]</w:t>
            </w:r>
          </w:p>
        </w:tc>
      </w:tr>
      <w:tr>
        <w:trPr>
          <w:cantSplit/>
        </w:trPr>
        <w:tc>
          <w:tcPr>
            <w:tcW w:type="dxa" w:w="794"/>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5B6576"/>
                <w:sz w:val="20"/>
              </w:rPr>
              <w:t>7.2</w:t>
            </w:r>
          </w:p>
        </w:tc>
        <w:tc>
          <w:tcPr>
            <w:tcW w:type="dxa" w:w="2041"/>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2A3F66"/>
                <w:sz w:val="20"/>
                <w:shd w:val="clear" w:color="auto" w:fill="E3EAF5"/>
              </w:rPr>
              <w:t>[Section]</w:t>
            </w:r>
          </w:p>
        </w:tc>
        <w:tc>
          <w:tcPr>
            <w:tcW w:type="dxa" w:w="6803"/>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2A3F66"/>
                <w:sz w:val="20"/>
                <w:shd w:val="clear" w:color="auto" w:fill="E3EAF5"/>
              </w:rPr>
              <w:t>[the change, in full]</w:t>
            </w:r>
          </w:p>
        </w:tc>
      </w:tr>
      <w:tr>
        <w:trPr>
          <w:cantSplit/>
        </w:trPr>
        <w:tc>
          <w:tcPr>
            <w:tcW w:type="dxa" w:w="794"/>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5B6576"/>
                <w:sz w:val="20"/>
              </w:rPr>
              <w:t>7.3</w:t>
            </w:r>
          </w:p>
        </w:tc>
        <w:tc>
          <w:tcPr>
            <w:tcW w:type="dxa" w:w="2041"/>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2A3F66"/>
                <w:sz w:val="20"/>
                <w:shd w:val="clear" w:color="auto" w:fill="E3EAF5"/>
              </w:rPr>
              <w:t>[Section]</w:t>
            </w:r>
          </w:p>
        </w:tc>
        <w:tc>
          <w:tcPr>
            <w:tcW w:type="dxa" w:w="6803"/>
            <w:tcBorders>
              <w:top w:val="nil"/>
              <w:left w:val="nil"/>
              <w:bottom w:val="single" w:sz="4" w:color="D9DEE7"/>
              <w:right w:val="nil"/>
            </w:tcBorders>
            <w:tcMar>
              <w:top w:w="120" w:type="dxa"/>
              <w:bottom w:w="120" w:type="dxa"/>
              <w:start w:w="0" w:type="dxa"/>
              <w:end w:w="120" w:type="dxa"/>
            </w:tcMar>
          </w:tcPr>
          <w:p>
            <w:pPr>
              <w:spacing w:after="0"/>
            </w:pPr>
            <w:r>
              <w:rPr>
                <w:rFonts w:ascii="Arial" w:hAnsi="Arial"/>
                <w:color w:val="2A3F66"/>
                <w:sz w:val="20"/>
                <w:shd w:val="clear" w:color="auto" w:fill="E3EAF5"/>
              </w:rPr>
              <w:t>[the change, in full, or "None"]</w:t>
            </w:r>
          </w:p>
        </w:tc>
      </w:tr>
    </w:tbl>
    <w:p>
      <w:pPr>
        <w:spacing w:after="0"/>
      </w:pPr>
    </w:p>
    <w:tbl>
      <w:tblPr>
        <w:tblW w:type="auto" w:w="0"/>
        <w:tblLayout w:type="fixed"/>
        <w:tblLook w:firstColumn="1" w:firstRow="1" w:lastColumn="0" w:lastRow="0" w:noHBand="0" w:noVBand="1" w:val="04A0"/>
      </w:tblPr>
      <w:tblGrid>
        <w:gridCol w:w="9638"/>
      </w:tblGrid>
      <w:tr>
        <w:tc>
          <w:tcPr>
            <w:tcW w:type="dxa" w:w="9638"/>
            <w:shd w:val="clear" w:color="auto" w:fill="FFF5DD"/>
            <w:tcBorders>
              <w:top w:val="single" w:sz="6" w:color="E8C670"/>
              <w:left w:val="single" w:sz="6" w:color="E8C670"/>
              <w:bottom w:val="single" w:sz="6" w:color="E8C670"/>
              <w:right w:val="single" w:sz="6" w:color="E8C670"/>
            </w:tcBorders>
            <w:tcMar>
              <w:top w:w="140" w:type="dxa"/>
              <w:bottom w:w="140" w:type="dxa"/>
              <w:start w:w="180" w:type="dxa"/>
              <w:end w:w="180" w:type="dxa"/>
            </w:tcMar>
          </w:tcPr>
          <w:p>
            <w:pPr>
              <w:spacing w:after="80"/>
            </w:pPr>
            <w:r>
              <w:rPr>
                <w:b/>
                <w:color w:val="5E4300"/>
                <w:sz w:val="16"/>
              </w:rPr>
              <w:t>DRAFTING NOTE: EXAMPLES  (delete before sending)</w:t>
            </w:r>
          </w:p>
          <w:p>
            <w:pPr>
              <w:spacing w:after="80"/>
            </w:pPr>
            <w:r>
              <w:rPr>
                <w:rFonts w:ascii="Arial" w:hAnsi="Arial"/>
                <w:color w:val="5E4300"/>
                <w:sz w:val="18"/>
              </w:rPr>
              <w:t>Write each change so that it still makes sense when read on its own. Changes to liability (Section 16), the DPA, security (Section 10) or Schedule 1 need sign-off from the founder before sending. Anything that changes how the platform behaves, such as a guaranteed service level, needs checking with engineering first.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2608"/>
                  <w:tcBorders>
                    <w:top w:val="nil"/>
                    <w:left w:val="nil"/>
                    <w:bottom w:val="single" w:sz="6" w:color="E8C670"/>
                    <w:right w:val="nil"/>
                  </w:tcBorders>
                  <w:tcMar>
                    <w:top w:w="40" w:type="dxa"/>
                    <w:bottom w:w="40" w:type="dxa"/>
                    <w:start w:w="0" w:type="dxa"/>
                    <w:end w:w="120" w:type="dxa"/>
                  </w:tcMar>
                </w:tcPr>
                <w:p>
                  <w:r>
                    <w:rPr>
                      <w:b/>
                      <w:color w:val="5E4300"/>
                      <w:sz w:val="15"/>
                    </w:rPr>
                    <w:t>PROVISION</w:t>
                  </w:r>
                </w:p>
              </w:tc>
              <w:tc>
                <w:tcPr>
                  <w:tcW w:type="dxa" w:w="6463"/>
                  <w:tcBorders>
                    <w:top w:val="nil"/>
                    <w:left w:val="nil"/>
                    <w:bottom w:val="single" w:sz="6" w:color="E8C670"/>
                    <w:right w:val="nil"/>
                  </w:tcBorders>
                  <w:tcMar>
                    <w:top w:w="40" w:type="dxa"/>
                    <w:bottom w:w="40" w:type="dxa"/>
                    <w:start w:w="0" w:type="dxa"/>
                    <w:end w:w="120" w:type="dxa"/>
                  </w:tcMar>
                </w:tcPr>
                <w:p>
                  <w:r>
                    <w:rPr>
                      <w:b/>
                      <w:color w:val="5E4300"/>
                      <w:sz w:val="15"/>
                    </w:rPr>
                    <w:t>EXAMPLE WORDING</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Section 16.3(b)</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"Section 16.3(b) is replaced with: £100,000."</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Section 12.21(b)</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"Despite Section 12.21(b), Customer may end the Subscription for convenience by giving 90 days' written notice at any time after the first 6 months of the Fixed Term. Section 12.21(a) applies only to Fees up to the end of that notice."</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Section 13.2</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"Section 13.2 is amended so that Subcontext will give a first response within 4 business hours to 95% of priority 1 tickets in each month, and will credit 5% of that month's subscription fee if it does not."</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Section 23.3</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"Despite Section 23.3, Subcontext may name Customer as a customer on its website."</w:t>
                  </w:r>
                </w:p>
              </w:tc>
            </w:tr>
          </w:tbl>
          <w:p/>
          <w:p>
            <w:pPr>
              <w:spacing w:after="0"/>
            </w:pPr>
          </w:p>
        </w:tc>
      </w:tr>
    </w:tbl>
    <w:p>
      <w:pPr>
        <w:spacing w:after="0"/>
      </w:pPr>
    </w:p>
    <w:p>
      <w:pPr>
        <w:keepNext/>
        <w:spacing w:before="360" w:after="120"/>
        <w:pBdr>
          <w:bottom w:val="single" w:sz="8" w:space="4" w:color="0C2240"/>
        </w:pBdr>
      </w:pPr>
      <w:r>
        <w:rPr>
          <w:b/>
          <w:color w:val="5B6576"/>
          <w:sz w:val="22"/>
        </w:rPr>
        <w:t xml:space="preserve">8   </w:t>
      </w:r>
      <w:r>
        <w:rPr>
          <w:b/>
          <w:color w:val="0C2240"/>
          <w:sz w:val="22"/>
        </w:rPr>
        <w:t>SIGNATURES</w:t>
      </w:r>
    </w:p>
    <w:p>
      <w:pPr>
        <w:spacing w:after="200" w:before="0"/>
      </w:pPr>
      <w:r>
        <w:rPr>
          <w:rFonts w:ascii="Arial" w:hAnsi="Arial"/>
          <w:sz w:val="20"/>
        </w:rPr>
        <w:t>Signed by the authorised representatives of each party. This Order Form may be signed electronically and in counterparts. It takes effect when both parties have signed it.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4535"/>
          </w:tcPr>
          <w:p>
            <w:pPr>
              <w:spacing w:after="120"/>
            </w:pPr>
            <w:r>
              <w:rPr>
                <w:rFonts w:ascii="Arial" w:hAnsi="Arial"/>
                <w:b/>
                <w:color w:val="0C2240"/>
                <w:sz w:val="21"/>
              </w:rPr>
              <w:t>For Subcontext Ltd</w:t>
            </w:r>
          </w:p>
          <w:p>
            <w:pPr>
              <w:spacing w:before="400" w:after="0"/>
              <w:pBdr>
                <w:bottom w:val="single" w:sz="6" w:space="1" w:color="0C2240"/>
              </w:pBdr>
            </w:pPr>
          </w:p>
          <w:p>
            <w:pPr>
              <w:spacing w:after="0"/>
            </w:pPr>
            <w:r>
              <w:rPr>
                <w:b/>
                <w:color w:val="5B6576"/>
                <w:sz w:val="15"/>
              </w:rPr>
              <w:t>SIGNATURE</w:t>
            </w:r>
          </w:p>
          <w:p>
            <w:pPr>
              <w:spacing w:before="400" w:after="0"/>
              <w:pBdr>
                <w:bottom w:val="single" w:sz="6" w:space="1" w:color="0C2240"/>
              </w:pBdr>
            </w:pPr>
          </w:p>
          <w:p>
            <w:pPr>
              <w:spacing w:after="0"/>
            </w:pPr>
            <w:r>
              <w:rPr>
                <w:b/>
                <w:color w:val="5B6576"/>
                <w:sz w:val="15"/>
              </w:rPr>
              <w:t>NAME</w:t>
            </w:r>
          </w:p>
          <w:p>
            <w:pPr>
              <w:spacing w:before="400" w:after="0"/>
              <w:pBdr>
                <w:bottom w:val="single" w:sz="6" w:space="1" w:color="0C2240"/>
              </w:pBdr>
            </w:pPr>
          </w:p>
          <w:p>
            <w:pPr>
              <w:spacing w:after="0"/>
            </w:pPr>
            <w:r>
              <w:rPr>
                <w:b/>
                <w:color w:val="5B6576"/>
                <w:sz w:val="15"/>
              </w:rPr>
              <w:t>TITLE</w:t>
            </w:r>
          </w:p>
          <w:p>
            <w:pPr>
              <w:spacing w:before="400" w:after="0"/>
              <w:pBdr>
                <w:bottom w:val="single" w:sz="6" w:space="1" w:color="0C2240"/>
              </w:pBdr>
            </w:pPr>
          </w:p>
          <w:p>
            <w:pPr>
              <w:spacing w:after="0"/>
            </w:pPr>
            <w:r>
              <w:rPr>
                <w:b/>
                <w:color w:val="5B6576"/>
                <w:sz w:val="15"/>
              </w:rPr>
              <w:t>DATE</w:t>
            </w:r>
          </w:p>
        </w:tc>
        <w:tc>
          <w:tcPr>
            <w:tcW w:type="dxa" w:w="567"/>
          </w:tcPr>
          <w:p/>
        </w:tc>
        <w:tc>
          <w:tcPr>
            <w:tcW w:type="dxa" w:w="4535"/>
          </w:tcPr>
          <w:p>
            <w:pPr>
              <w:spacing w:after="120"/>
            </w:pPr>
            <w:r>
              <w:rPr>
                <w:rFonts w:ascii="Arial" w:hAnsi="Arial"/>
                <w:b/>
                <w:color w:val="0C2240"/>
                <w:sz w:val="21"/>
              </w:rPr>
              <w:t xml:space="preserve">For </w:t>
            </w:r>
            <w:r>
              <w:rPr>
                <w:rFonts w:ascii="Arial" w:hAnsi="Arial"/>
                <w:b/>
                <w:color w:val="2A3F66"/>
                <w:sz w:val="21"/>
                <w:shd w:val="clear" w:color="auto" w:fill="E3EAF5"/>
              </w:rPr>
              <w:t>[Customer]</w:t>
            </w:r>
          </w:p>
          <w:p>
            <w:pPr>
              <w:spacing w:before="400" w:after="0"/>
              <w:pBdr>
                <w:bottom w:val="single" w:sz="6" w:space="1" w:color="0C2240"/>
              </w:pBdr>
            </w:pPr>
          </w:p>
          <w:p>
            <w:pPr>
              <w:spacing w:after="0"/>
            </w:pPr>
            <w:r>
              <w:rPr>
                <w:b/>
                <w:color w:val="5B6576"/>
                <w:sz w:val="15"/>
              </w:rPr>
              <w:t>SIGNATURE</w:t>
            </w:r>
          </w:p>
          <w:p>
            <w:pPr>
              <w:spacing w:before="400" w:after="0"/>
              <w:pBdr>
                <w:bottom w:val="single" w:sz="6" w:space="1" w:color="0C2240"/>
              </w:pBdr>
            </w:pPr>
          </w:p>
          <w:p>
            <w:pPr>
              <w:spacing w:after="0"/>
            </w:pPr>
            <w:r>
              <w:rPr>
                <w:b/>
                <w:color w:val="5B6576"/>
                <w:sz w:val="15"/>
              </w:rPr>
              <w:t>NAME</w:t>
            </w:r>
          </w:p>
          <w:p>
            <w:pPr>
              <w:spacing w:before="400" w:after="0"/>
              <w:pBdr>
                <w:bottom w:val="single" w:sz="6" w:space="1" w:color="0C2240"/>
              </w:pBdr>
            </w:pPr>
          </w:p>
          <w:p>
            <w:pPr>
              <w:spacing w:after="0"/>
            </w:pPr>
            <w:r>
              <w:rPr>
                <w:b/>
                <w:color w:val="5B6576"/>
                <w:sz w:val="15"/>
              </w:rPr>
              <w:t>TITLE</w:t>
            </w:r>
          </w:p>
          <w:p>
            <w:pPr>
              <w:spacing w:before="400" w:after="0"/>
              <w:pBdr>
                <w:bottom w:val="single" w:sz="6" w:space="1" w:color="0C2240"/>
              </w:pBdr>
            </w:pPr>
          </w:p>
          <w:p>
            <w:pPr>
              <w:spacing w:after="0"/>
            </w:pPr>
            <w:r>
              <w:rPr>
                <w:b/>
                <w:color w:val="5B6576"/>
                <w:sz w:val="15"/>
              </w:rPr>
              <w:t>DATE</w:t>
            </w:r>
          </w:p>
        </w:tc>
      </w:tr>
    </w:tbl>
    <w:p>
      <w:pPr>
        <w:spacing w:after="120"/>
      </w:pPr>
    </w:p>
    <w:tbl>
      <w:tblPr>
        <w:tblW w:type="auto" w:w="0"/>
        <w:tblLayout w:type="fixed"/>
        <w:tblLook w:firstColumn="1" w:firstRow="1" w:lastColumn="0" w:lastRow="0" w:noHBand="0" w:noVBand="1" w:val="04A0"/>
      </w:tblPr>
      <w:tblGrid>
        <w:gridCol w:w="9638"/>
      </w:tblGrid>
      <w:tr>
        <w:tc>
          <w:tcPr>
            <w:tcW w:type="dxa" w:w="9638"/>
            <w:shd w:val="clear" w:color="auto" w:fill="FFF5DD"/>
            <w:tcBorders>
              <w:top w:val="single" w:sz="6" w:color="E8C670"/>
              <w:left w:val="single" w:sz="6" w:color="E8C670"/>
              <w:bottom w:val="single" w:sz="6" w:color="E8C670"/>
              <w:right w:val="single" w:sz="6" w:color="E8C670"/>
            </w:tcBorders>
            <w:tcMar>
              <w:top w:w="140" w:type="dxa"/>
              <w:bottom w:w="140" w:type="dxa"/>
              <w:start w:w="180" w:type="dxa"/>
              <w:end w:w="180" w:type="dxa"/>
            </w:tcMar>
          </w:tcPr>
          <w:p>
            <w:pPr>
              <w:spacing w:after="80"/>
            </w:pPr>
            <w:r>
              <w:rPr>
                <w:b/>
                <w:color w:val="5E4300"/>
                <w:sz w:val="16"/>
              </w:rPr>
              <w:t>DRAFTING NOTE: SETTING UP THE SIGNED DEAL  (delete before sending)</w:t>
            </w:r>
          </w:p>
          <w:p>
            <w:pPr>
              <w:spacing w:after="80"/>
            </w:pPr>
            <w:r>
              <w:rPr>
                <w:rFonts w:ascii="Arial" w:hAnsi="Arial"/>
                <w:color w:val="5E4300"/>
                <w:sz w:val="18"/>
              </w:rPr>
              <w:t>Once both parties have signed, enter the deal in Admin, Orgs, the Customer's Organisation, Assign plan. Each field on the form maps to a setting below. Then activate the plan, keep the signed PDF with the Organisation's notes, and put any Section 7 changes in the deal notes so support can see them.</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2608"/>
                  <w:tcBorders>
                    <w:top w:val="nil"/>
                    <w:left w:val="nil"/>
                    <w:bottom w:val="single" w:sz="6" w:color="E8C670"/>
                    <w:right w:val="nil"/>
                  </w:tcBorders>
                  <w:tcMar>
                    <w:top w:w="40" w:type="dxa"/>
                    <w:bottom w:w="40" w:type="dxa"/>
                    <w:start w:w="0" w:type="dxa"/>
                    <w:end w:w="120" w:type="dxa"/>
                  </w:tcMar>
                </w:tcPr>
                <w:p>
                  <w:r>
                    <w:rPr>
                      <w:b/>
                      <w:color w:val="5E4300"/>
                      <w:sz w:val="15"/>
                    </w:rPr>
                    <w:t>ON THIS FORM</w:t>
                  </w:r>
                </w:p>
              </w:tc>
              <w:tc>
                <w:tcPr>
                  <w:tcW w:type="dxa" w:w="6463"/>
                  <w:tcBorders>
                    <w:top w:val="nil"/>
                    <w:left w:val="nil"/>
                    <w:bottom w:val="single" w:sz="6" w:color="E8C670"/>
                    <w:right w:val="nil"/>
                  </w:tcBorders>
                  <w:tcMar>
                    <w:top w:w="40" w:type="dxa"/>
                    <w:bottom w:w="40" w:type="dxa"/>
                    <w:start w:w="0" w:type="dxa"/>
                    <w:end w:w="120" w:type="dxa"/>
                  </w:tcMar>
                </w:tcPr>
                <w:p>
                  <w:r>
                    <w:rPr>
                      <w:b/>
                      <w:color w:val="5E4300"/>
                      <w:sz w:val="15"/>
                    </w:rPr>
                    <w:t>IN ADMIN</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Plan</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Plan (assign the private Enterprise plan to the Organisation)</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Subscription fee</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Monthly cost. £0 makes the plan free (comped).</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Included Credit</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Included credit (monthly). Blank uses the plan's default.</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Fixed Term end date</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Term ends on (YYYY-MM-DD). The platform ends the Subscription after this date.</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Payment method</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Payment method: invoice or credit card</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Payment terms</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Payment terms (days). Default 30.</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Billing months</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Billing cycle: activation day or calendar month</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AI usage, Messaging and calls</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The Organisation's AI billing mode and channel billing mode: rebill, or all included</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Platform fee on premiums</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The admin-only Organisation setting platform_fee_bps (100 = 1%). A product can override it.</w:t>
                  </w:r>
                </w:p>
              </w:tc>
            </w:tr>
            <w:tr>
              <w:trPr>
                <w:cantSplit/>
              </w:trPr>
              <w:tc>
                <w:tcPr>
                  <w:tcW w:type="dxa" w:w="2608"/>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Regulatory status</w:t>
                  </w:r>
                </w:p>
              </w:tc>
              <w:tc>
                <w:tcPr>
                  <w:tcW w:type="dxa" w:w="6463"/>
                  <w:tcBorders>
                    <w:top w:val="nil"/>
                    <w:left w:val="nil"/>
                    <w:bottom w:val="single" w:sz="4" w:color="E8C670"/>
                    <w:right w:val="nil"/>
                  </w:tcBorders>
                  <w:tcMar>
                    <w:top w:w="40" w:type="dxa"/>
                    <w:bottom w:w="40" w:type="dxa"/>
                    <w:start w:w="0" w:type="dxa"/>
                    <w:end w:w="120" w:type="dxa"/>
                  </w:tcMar>
                </w:tcPr>
                <w:p>
                  <w:pPr>
                    <w:spacing w:after="0"/>
                  </w:pPr>
                  <w:r>
                    <w:rPr>
                      <w:rFonts w:ascii="Arial" w:hAnsi="Arial"/>
                      <w:color w:val="5E4300"/>
                      <w:sz w:val="17"/>
                    </w:rPr>
                    <w:t>Record the declaration under Section 5.2. Until the Service has a setting for it, keep the signed form as the record.</w:t>
                  </w:r>
                </w:p>
              </w:tc>
            </w:tr>
          </w:tbl>
          <w:p/>
          <w:p>
            <w:pPr>
              <w:spacing w:after="0"/>
            </w:pPr>
          </w:p>
        </w:tc>
      </w:tr>
    </w:tbl>
    <w:p>
      <w:pPr>
        <w:spacing w:after="0"/>
      </w:pPr>
    </w:p>
    <w:sectPr w:rsidR="00FC693F" w:rsidRPr="0006063C" w:rsidSect="00034616">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B6576"/>
        <w:sz w:val="15"/>
      </w:rPr>
      <w:t xml:space="preserve">Subcontext Ltd · Company no. 17019645 · 124 City Road, London, EC1V 2NX        Order Form template v1 · Page </w:t>
    </w:r>
    <w:r>
      <w:rPr>
        <w:color w:val="5B6576"/>
        <w:sz w:val="15"/>
      </w:rPr>
      <w:fldChar w:fldCharType="begin"/>
      <w:instrText xml:space="preserve">PAGE</w:instrText>
      <w:fldChar w:fldCharType="end"/>
    </w:r>
    <w:r>
      <w:rPr>
        <w:color w:val="5B6576"/>
        <w:sz w:val="15"/>
      </w:rPr>
      <w:t xml:space="preserve"> of </w:t>
    </w:r>
    <w:r>
      <w:rPr>
        <w:color w:val="5B6576"/>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88" w:lineRule="auto"/>
    </w:pPr>
    <w:rPr>
      <w:rFonts w:ascii="Arial" w:hAnsi="Arial" w:eastAsia="Arial"/>
      <w:color w:val="1C25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Subcontext Order Form</dc:title>
  <dc:subject/>
  <dc:creator>Subcontext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